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F" w:rsidRDefault="00AD000F" w:rsidP="00AD000F">
      <w:pPr>
        <w:pStyle w:val="a6"/>
        <w:jc w:val="center"/>
        <w:rPr>
          <w:rFonts w:eastAsia="Times New Roman"/>
          <w:b/>
          <w:kern w:val="36"/>
          <w:sz w:val="32"/>
          <w:lang w:eastAsia="ru-RU"/>
        </w:rPr>
      </w:pPr>
      <w:r w:rsidRPr="00AD000F">
        <w:rPr>
          <w:rFonts w:eastAsia="Times New Roman"/>
          <w:b/>
          <w:kern w:val="36"/>
          <w:sz w:val="32"/>
          <w:lang w:eastAsia="ru-RU"/>
        </w:rPr>
        <w:t>НАЛОГИ. ПРИНЯТЫЕ МЕРЫ ПОДДЕРЖКИ</w:t>
      </w:r>
    </w:p>
    <w:p w:rsidR="00AD000F" w:rsidRPr="00AD000F" w:rsidRDefault="00AD000F" w:rsidP="00AD000F">
      <w:pPr>
        <w:pStyle w:val="a6"/>
        <w:jc w:val="center"/>
        <w:rPr>
          <w:rFonts w:eastAsia="Times New Roman"/>
          <w:b/>
          <w:kern w:val="36"/>
          <w:sz w:val="32"/>
          <w:lang w:eastAsia="ru-RU"/>
        </w:rPr>
      </w:pP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риняты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 xml:space="preserve"> Правительством решения в части регулирования налогового законодательства в условиях </w:t>
      </w:r>
      <w:proofErr w:type="spellStart"/>
      <w:r w:rsidRPr="00AD000F">
        <w:rPr>
          <w:rFonts w:eastAsia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AD000F">
        <w:rPr>
          <w:rFonts w:eastAsia="Times New Roman"/>
          <w:color w:val="000000"/>
          <w:sz w:val="24"/>
          <w:szCs w:val="24"/>
          <w:lang w:eastAsia="ru-RU"/>
        </w:rPr>
        <w:t xml:space="preserve"> давления.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Все налогоплательщики смогут перейти на уплату авансовых платежей исходя из фактического финансового результата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Налоговые органы не планируют привлекать пользователей ККТ к ответственности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Не является нарушением отсутствие бумажного чека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Амнистия капитала (4 этап). Подача специальной декларации в рамках амнистии капитала гарантирует освобождение от налоговой, уголовной, административной ответственности за совершение отдельных правонарушений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Ограничение уголовных дел по налоговым преступлениям (органы следствия не смогут возбуждать уголовные дела без материалов проверок)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С 1 июля 2022 года установлена возможность применения специального налогового режима и автоматизированной упрощенной системы налогообложения (АУСН), предусматривающей освобождение от налога на имущество и НДС, в том числе от налога на прибыль, НДФЛ с некоторыми ограничениями и др.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000F">
        <w:rPr>
          <w:rFonts w:eastAsia="Times New Roman"/>
          <w:color w:val="000000"/>
          <w:sz w:val="24"/>
          <w:szCs w:val="24"/>
          <w:lang w:eastAsia="ru-RU"/>
        </w:rPr>
        <w:t>Документы, вводящие эти нормы в силу: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Федеральный закон от 25.02.2022 № 17-ФЗ</w:t>
        </w:r>
      </w:hyperlink>
    </w:p>
    <w:p w:rsid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Федеральный закон от 09.03.2022 № 48-ФЗ</w:t>
        </w:r>
      </w:hyperlink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D000F" w:rsidRDefault="00AD000F" w:rsidP="00AD000F">
      <w:pPr>
        <w:pStyle w:val="a6"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 w:rsidRPr="00AD000F">
        <w:rPr>
          <w:rFonts w:eastAsia="Times New Roman"/>
          <w:b/>
          <w:color w:val="000000"/>
          <w:sz w:val="28"/>
          <w:szCs w:val="24"/>
          <w:lang w:eastAsia="ru-RU"/>
        </w:rPr>
        <w:t>НДС</w:t>
      </w:r>
    </w:p>
    <w:p w:rsidR="00AD000F" w:rsidRPr="00AD000F" w:rsidRDefault="00AD000F" w:rsidP="00AD000F">
      <w:pPr>
        <w:pStyle w:val="a6"/>
        <w:ind w:firstLine="85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000F">
        <w:rPr>
          <w:rFonts w:eastAsia="Times New Roman"/>
          <w:color w:val="000000"/>
          <w:sz w:val="24"/>
          <w:szCs w:val="24"/>
          <w:lang w:eastAsia="ru-RU"/>
        </w:rPr>
        <w:t>Ставка по НДС в размере 0% устанавливается на 5 лет в отношении услуг по предоставлению: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мест временного проживания в гостиницах и иных средствах размещения. При этом для новых и реконструированных гостиниц и иных средств размещения этот срок будет считаться с момента их ввода в эксплуатацию;</w:t>
      </w:r>
    </w:p>
    <w:p w:rsid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в аренду или пользование в ином праве объектов туристической индустрии, введенных в эксплуатацию после 1 января 2022 года.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D000F" w:rsidRPr="00AD000F" w:rsidRDefault="00AD000F" w:rsidP="00AD000F">
      <w:pPr>
        <w:pStyle w:val="a6"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 w:rsidRPr="00AD000F">
        <w:rPr>
          <w:rFonts w:eastAsia="Times New Roman"/>
          <w:b/>
          <w:color w:val="000000"/>
          <w:sz w:val="28"/>
          <w:szCs w:val="24"/>
          <w:lang w:eastAsia="ru-RU"/>
        </w:rPr>
        <w:t>НАЛОГ НА ПРИБЫЛЬ</w:t>
      </w:r>
    </w:p>
    <w:p w:rsidR="00AD000F" w:rsidRPr="00AD000F" w:rsidRDefault="00AD000F" w:rsidP="00AD000F">
      <w:pPr>
        <w:pStyle w:val="a6"/>
        <w:ind w:firstLine="851"/>
        <w:jc w:val="center"/>
        <w:rPr>
          <w:rFonts w:eastAsia="Times New Roman"/>
          <w:color w:val="000000"/>
          <w:sz w:val="28"/>
          <w:szCs w:val="24"/>
          <w:lang w:eastAsia="ru-RU"/>
        </w:rPr>
      </w:pP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При определении налоговой базы не включать в доходы величину прощенного в течение 2022 года иностранной компанией долга по договору займа, заключенному до 1 марта 2022 года. При этом положительная курсовая разница, возникшая в 2022–2024 гг., и отрицательная курсовая разница, возникшая в 2023–2024 гг., от переоценки требований (обязательств), выраженных в иностранной валюте, в том числе по требованиям по договору банковского вклада (депозита), учитывается при расчете налоговой базы по мере погашения указанной задолженности. В то же время на авансы указанное правило не распространяется.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В течение 2022 года налогоплательщикам, которые уплачивают ежемесячные авансовые платежи внутри квартала, разрешить перейти на их уплату исходя из фактической прибыли.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До 31 декабря 2023 года зафиксировать интервалы предельных значений процентных ставок по долговым обязательствам.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Установить ставку по налогу на прибыль в размере 0% для организаций отрасли информационных технологий в 2022–2024 гг.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На 2022–2023 гг. изменить порядок определения предельной величины процентов, которые уменьшают базу по налогу на прибыль по долговым обязательствам, возникшим до 1 марта 2022 года: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курс иностранной валюты, используемый для пересчета величины контролируемой задолженности, не может превышать официальный курс, установленный ЦБ РФ по состоянию на 1 февраля 2022 года;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при определении величины собственного капитала не учитываются положительные (отрицательные) курсовые разницы, возникшие при переоценке требований (обязательств) после 1 февраля 2022 года.</w:t>
      </w:r>
    </w:p>
    <w:p w:rsid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000F">
        <w:rPr>
          <w:rFonts w:eastAsia="Times New Roman"/>
          <w:color w:val="000000"/>
          <w:sz w:val="24"/>
          <w:szCs w:val="24"/>
          <w:lang w:eastAsia="ru-RU"/>
        </w:rPr>
        <w:t>Документ, вводящий эти нормы в силу: </w:t>
      </w:r>
      <w:hyperlink r:id="rId7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Федеральный закон от 26.03.2022 № 67-ФЗ</w:t>
        </w:r>
      </w:hyperlink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D000F" w:rsidRDefault="00AD000F" w:rsidP="00AD000F">
      <w:pPr>
        <w:pStyle w:val="a6"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 w:rsidRPr="00AD000F">
        <w:rPr>
          <w:rFonts w:eastAsia="Times New Roman"/>
          <w:b/>
          <w:color w:val="000000"/>
          <w:sz w:val="28"/>
          <w:szCs w:val="24"/>
          <w:lang w:eastAsia="ru-RU"/>
        </w:rPr>
        <w:t>ОТСРОЧКИ</w:t>
      </w:r>
    </w:p>
    <w:p w:rsidR="00AD000F" w:rsidRPr="00AD000F" w:rsidRDefault="00AD000F" w:rsidP="00AD000F">
      <w:pPr>
        <w:pStyle w:val="a6"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 xml:space="preserve">Введена отсрочка уплаты утилизационного сбора для </w:t>
      </w:r>
      <w:proofErr w:type="spellStart"/>
      <w:r w:rsidRPr="00AD000F">
        <w:rPr>
          <w:rFonts w:eastAsia="Times New Roman"/>
          <w:color w:val="000000"/>
          <w:sz w:val="24"/>
          <w:szCs w:val="24"/>
          <w:lang w:eastAsia="ru-RU"/>
        </w:rPr>
        <w:t>автопроизводителей</w:t>
      </w:r>
      <w:proofErr w:type="spellEnd"/>
      <w:r w:rsidRPr="00AD000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Постановление Правительства РФ от 04.03.2022 № 287</w:t>
        </w:r>
      </w:hyperlink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Отмена НДФЛ с процентов по вкладам за 2021 и 2022 годы для «обычных» физических лиц</w:t>
      </w:r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Если кадастровая стоимость объектов или земли увеличится, то для расчета налога на имущество организаций и земельного налога в 2023 году нужно будет использовать показатели, применяемые с 1 января 2022 года </w:t>
      </w:r>
      <w:hyperlink r:id="rId9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Федеральный закон от 26.03.2022 № 67-ФЗ</w:t>
        </w:r>
      </w:hyperlink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Продление срока уплаты авансового платежа по налогу на прибыль </w:t>
      </w:r>
      <w:hyperlink r:id="rId10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Постановление Правительства РФ от 25.03. 2022 № 470</w:t>
        </w:r>
      </w:hyperlink>
    </w:p>
    <w:p w:rsidR="00AD000F" w:rsidRPr="00AD000F" w:rsidRDefault="00AD000F" w:rsidP="00AD000F">
      <w:pPr>
        <w:pStyle w:val="a6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D000F">
        <w:rPr>
          <w:rFonts w:eastAsia="Times New Roman"/>
          <w:color w:val="000000"/>
          <w:sz w:val="24"/>
          <w:szCs w:val="24"/>
          <w:lang w:eastAsia="ru-RU"/>
        </w:rPr>
        <w:t>Продление срока уплаты налога по упрощенной системе налогообложения при осуществлении определенных видов деятельности </w:t>
      </w:r>
      <w:hyperlink r:id="rId11" w:tgtFrame="_blank" w:history="1">
        <w:r w:rsidRPr="00AD000F">
          <w:rPr>
            <w:rFonts w:eastAsia="Times New Roman"/>
            <w:color w:val="F2513F"/>
            <w:sz w:val="24"/>
            <w:szCs w:val="24"/>
            <w:lang w:eastAsia="ru-RU"/>
          </w:rPr>
          <w:t>Постановление Правительства РФ от 30.03.2022 № 512</w:t>
        </w:r>
      </w:hyperlink>
    </w:p>
    <w:p w:rsidR="0070285D" w:rsidRPr="00AD000F" w:rsidRDefault="0070285D" w:rsidP="00AD000F"/>
    <w:sectPr w:rsidR="0070285D" w:rsidRPr="00AD000F" w:rsidSect="0070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E40"/>
    <w:multiLevelType w:val="multilevel"/>
    <w:tmpl w:val="D2A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2015"/>
    <w:multiLevelType w:val="multilevel"/>
    <w:tmpl w:val="F640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433A5"/>
    <w:multiLevelType w:val="multilevel"/>
    <w:tmpl w:val="FD1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43ED2"/>
    <w:multiLevelType w:val="multilevel"/>
    <w:tmpl w:val="9F7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93CA3"/>
    <w:multiLevelType w:val="multilevel"/>
    <w:tmpl w:val="FB3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20AEF"/>
    <w:multiLevelType w:val="multilevel"/>
    <w:tmpl w:val="56D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D000F"/>
    <w:rsid w:val="000103A1"/>
    <w:rsid w:val="00041C6E"/>
    <w:rsid w:val="00061219"/>
    <w:rsid w:val="000B4507"/>
    <w:rsid w:val="001037DB"/>
    <w:rsid w:val="00114BAF"/>
    <w:rsid w:val="00121B71"/>
    <w:rsid w:val="00182996"/>
    <w:rsid w:val="001B35C9"/>
    <w:rsid w:val="001F57A9"/>
    <w:rsid w:val="00204583"/>
    <w:rsid w:val="00234C49"/>
    <w:rsid w:val="00243CFE"/>
    <w:rsid w:val="00251ECA"/>
    <w:rsid w:val="00260D74"/>
    <w:rsid w:val="002745C6"/>
    <w:rsid w:val="002774E7"/>
    <w:rsid w:val="00285C16"/>
    <w:rsid w:val="002C4214"/>
    <w:rsid w:val="002C6EEF"/>
    <w:rsid w:val="0031246E"/>
    <w:rsid w:val="00330B1D"/>
    <w:rsid w:val="00333552"/>
    <w:rsid w:val="0039630F"/>
    <w:rsid w:val="003B615F"/>
    <w:rsid w:val="003C4426"/>
    <w:rsid w:val="003C65DF"/>
    <w:rsid w:val="003E67A5"/>
    <w:rsid w:val="0042466F"/>
    <w:rsid w:val="004675DB"/>
    <w:rsid w:val="00473BDD"/>
    <w:rsid w:val="00495B48"/>
    <w:rsid w:val="004C5218"/>
    <w:rsid w:val="004C705F"/>
    <w:rsid w:val="004D36BB"/>
    <w:rsid w:val="004E2C8B"/>
    <w:rsid w:val="005305D3"/>
    <w:rsid w:val="00546DDA"/>
    <w:rsid w:val="00565B18"/>
    <w:rsid w:val="00571468"/>
    <w:rsid w:val="00577E40"/>
    <w:rsid w:val="005930E7"/>
    <w:rsid w:val="00594673"/>
    <w:rsid w:val="00595160"/>
    <w:rsid w:val="005C392E"/>
    <w:rsid w:val="005E03C0"/>
    <w:rsid w:val="005E2942"/>
    <w:rsid w:val="005E68B0"/>
    <w:rsid w:val="00612847"/>
    <w:rsid w:val="00624637"/>
    <w:rsid w:val="00635131"/>
    <w:rsid w:val="00645446"/>
    <w:rsid w:val="006653AD"/>
    <w:rsid w:val="006802E7"/>
    <w:rsid w:val="006A435E"/>
    <w:rsid w:val="006C1F10"/>
    <w:rsid w:val="006C30A0"/>
    <w:rsid w:val="0070285D"/>
    <w:rsid w:val="007565CA"/>
    <w:rsid w:val="00793746"/>
    <w:rsid w:val="007B27FD"/>
    <w:rsid w:val="007C15D8"/>
    <w:rsid w:val="007D67DD"/>
    <w:rsid w:val="007E60D5"/>
    <w:rsid w:val="007F184A"/>
    <w:rsid w:val="00830A79"/>
    <w:rsid w:val="00834A5B"/>
    <w:rsid w:val="008351C1"/>
    <w:rsid w:val="00837040"/>
    <w:rsid w:val="0085626B"/>
    <w:rsid w:val="00871F35"/>
    <w:rsid w:val="0087665E"/>
    <w:rsid w:val="008D01C4"/>
    <w:rsid w:val="008D593E"/>
    <w:rsid w:val="008E1640"/>
    <w:rsid w:val="008F02C2"/>
    <w:rsid w:val="009062A0"/>
    <w:rsid w:val="00920279"/>
    <w:rsid w:val="00942481"/>
    <w:rsid w:val="00970A18"/>
    <w:rsid w:val="00974BB6"/>
    <w:rsid w:val="0098293A"/>
    <w:rsid w:val="00986015"/>
    <w:rsid w:val="00996AD5"/>
    <w:rsid w:val="009D0068"/>
    <w:rsid w:val="009D1443"/>
    <w:rsid w:val="009D7914"/>
    <w:rsid w:val="009E709C"/>
    <w:rsid w:val="00A2242F"/>
    <w:rsid w:val="00A426BD"/>
    <w:rsid w:val="00A97EAD"/>
    <w:rsid w:val="00AC134B"/>
    <w:rsid w:val="00AC13B4"/>
    <w:rsid w:val="00AD000F"/>
    <w:rsid w:val="00AF23E8"/>
    <w:rsid w:val="00B02F80"/>
    <w:rsid w:val="00B108D0"/>
    <w:rsid w:val="00B26643"/>
    <w:rsid w:val="00B96A23"/>
    <w:rsid w:val="00BD5072"/>
    <w:rsid w:val="00BE3F59"/>
    <w:rsid w:val="00C33C4C"/>
    <w:rsid w:val="00C43486"/>
    <w:rsid w:val="00C52377"/>
    <w:rsid w:val="00C70B9F"/>
    <w:rsid w:val="00C8752D"/>
    <w:rsid w:val="00CB23FC"/>
    <w:rsid w:val="00CE4D07"/>
    <w:rsid w:val="00CF3055"/>
    <w:rsid w:val="00D045D3"/>
    <w:rsid w:val="00D34D5F"/>
    <w:rsid w:val="00D36956"/>
    <w:rsid w:val="00D65B97"/>
    <w:rsid w:val="00D77A13"/>
    <w:rsid w:val="00E12DB7"/>
    <w:rsid w:val="00E66068"/>
    <w:rsid w:val="00E94EB5"/>
    <w:rsid w:val="00EC7E8F"/>
    <w:rsid w:val="00F13F8A"/>
    <w:rsid w:val="00F22384"/>
    <w:rsid w:val="00F31627"/>
    <w:rsid w:val="00F717DD"/>
    <w:rsid w:val="00FA11B6"/>
    <w:rsid w:val="00FA392D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paragraph" w:styleId="1">
    <w:name w:val="heading 1"/>
    <w:basedOn w:val="a"/>
    <w:link w:val="10"/>
    <w:uiPriority w:val="9"/>
    <w:qFormat/>
    <w:rsid w:val="00AD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00F"/>
    <w:rPr>
      <w:color w:val="0000FF"/>
      <w:u w:val="single"/>
    </w:rPr>
  </w:style>
  <w:style w:type="character" w:styleId="a5">
    <w:name w:val="Strong"/>
    <w:basedOn w:val="a0"/>
    <w:uiPriority w:val="22"/>
    <w:qFormat/>
    <w:rsid w:val="00AD000F"/>
    <w:rPr>
      <w:b/>
      <w:bCs/>
    </w:rPr>
  </w:style>
  <w:style w:type="paragraph" w:styleId="a6">
    <w:name w:val="No Spacing"/>
    <w:uiPriority w:val="1"/>
    <w:qFormat/>
    <w:rsid w:val="00AD0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62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05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326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090006" TargetMode="External"/><Relationship Id="rId11" Type="http://schemas.openxmlformats.org/officeDocument/2006/relationships/hyperlink" Target="http://publication.pravo.gov.ru/Document/View/0001202203300016" TargetMode="External"/><Relationship Id="rId5" Type="http://schemas.openxmlformats.org/officeDocument/2006/relationships/hyperlink" Target="http://publication.pravo.gov.ru/Document/View/0001202202250005" TargetMode="External"/><Relationship Id="rId10" Type="http://schemas.openxmlformats.org/officeDocument/2006/relationships/hyperlink" Target="http://publication.pravo.gov.ru/Document/View/000120220325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326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2022-11-21T12:01:00Z</dcterms:created>
  <dcterms:modified xsi:type="dcterms:W3CDTF">2022-11-21T12:08:00Z</dcterms:modified>
</cp:coreProperties>
</file>